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МАГИСТРАТУРА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специальности «Учитель русского языка как иностранного»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Информация о программе и о поступлении на официальном сайте университета</w:t>
      </w:r>
    </w:p>
    <w:p>
      <w:pPr>
        <w:pStyle w:val="Обычный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"https://www.ut.ee/et/voorkeeleopetaja"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https://www.ut.ee/et/voorkeeleopetaja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Обычный"/>
      </w:pPr>
    </w:p>
    <w:p>
      <w:pPr>
        <w:pStyle w:val="Обычный"/>
        <w:rPr>
          <w:rStyle w:val="None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  <w:lang w:val="ru-RU"/>
        </w:rPr>
        <w:t xml:space="preserve">NB!!! </w:t>
      </w:r>
      <w:r>
        <w:rPr>
          <w:rStyle w:val="None"/>
          <w:b w:val="1"/>
          <w:bCs w:val="1"/>
          <w:i w:val="1"/>
          <w:iCs w:val="1"/>
          <w:rtl w:val="0"/>
          <w:lang w:val="ru-RU"/>
        </w:rPr>
        <w:t>В связи с пандемией коронавируса сроки и порядок проведения экзаменов могут измениться</w:t>
      </w:r>
      <w:r>
        <w:rPr>
          <w:rStyle w:val="None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None"/>
          <w:b w:val="1"/>
          <w:bCs w:val="1"/>
          <w:i w:val="1"/>
          <w:iCs w:val="1"/>
          <w:rtl w:val="0"/>
          <w:lang w:val="ru-RU"/>
        </w:rPr>
        <w:t>о чем будет официально объявлено на сайте университета</w:t>
      </w:r>
    </w:p>
    <w:p>
      <w:pPr>
        <w:pStyle w:val="Обычный"/>
        <w:jc w:val="both"/>
        <w:rPr>
          <w:rStyle w:val="None"/>
          <w:b w:val="1"/>
          <w:bCs w:val="1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Обучение ведется в рамках общей магистерской программы «Учитель иностранного языка»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представлены все иностранные языки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которым готовят учителей в Колледже иностранных языков и культур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Конкурс для поступающих общий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бучение ведется на эстонском и русском языках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общие и педагогические дисциплины — на эстонском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предметы специализации — на русском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  <w:r>
        <w:rPr>
          <w:rtl w:val="0"/>
          <w:lang w:val="ru-RU"/>
        </w:rPr>
        <w:t>Срок обучения — два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окончании программы обучения учащийся получает степень магистра педагогики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  <w:rPr>
          <w:rStyle w:val="None"/>
          <w:u w:val="single"/>
        </w:rPr>
      </w:pPr>
      <w:r>
        <w:rPr>
          <w:rStyle w:val="None"/>
          <w:i w:val="1"/>
          <w:iCs w:val="1"/>
          <w:u w:val="single"/>
          <w:rtl w:val="0"/>
          <w:lang w:val="ru-RU"/>
        </w:rPr>
        <w:t>Условия приема</w:t>
      </w:r>
    </w:p>
    <w:p>
      <w:pPr>
        <w:pStyle w:val="Обычный"/>
        <w:jc w:val="both"/>
      </w:pPr>
      <w:r>
        <w:rPr>
          <w:rtl w:val="0"/>
          <w:lang w:val="ru-RU"/>
        </w:rPr>
        <w:t>Предварительным условием для поступления является степень бакалавра или приравненный у ней уровень образования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Степень владения иностранным языком и общей подготовки кандидата определяется в ходе вступительных экзаменов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>Кандидаты сдают вступительный экзамен по избранной специальности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Для допуска к конкурсу необходимо набрать не менее </w:t>
      </w:r>
      <w:r>
        <w:rPr>
          <w:rtl w:val="0"/>
          <w:lang w:val="ru-RU"/>
        </w:rPr>
        <w:t xml:space="preserve">66 </w:t>
      </w:r>
      <w:r>
        <w:rPr>
          <w:rtl w:val="0"/>
          <w:lang w:val="ru-RU"/>
        </w:rPr>
        <w:t xml:space="preserve">баллов из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возможных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поступление обеспечивает оценка не ниже </w:t>
      </w:r>
      <w:r>
        <w:rPr>
          <w:rtl w:val="0"/>
          <w:lang w:val="ru-RU"/>
        </w:rPr>
        <w:t xml:space="preserve">80 </w:t>
      </w:r>
      <w:r>
        <w:rPr>
          <w:rtl w:val="0"/>
          <w:lang w:val="ru-RU"/>
        </w:rPr>
        <w:t>баллов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Зачисляются в магистратуру кандидаты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набравшие наибольшее количество баллов — в порядке очередности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rStyle w:val="None"/>
          <w:i w:val="1"/>
          <w:iCs w:val="1"/>
        </w:rPr>
      </w:pPr>
      <w:bookmarkStart w:name="_Hlk35981677" w:id="0"/>
      <w:r>
        <w:rPr>
          <w:rStyle w:val="None"/>
          <w:i w:val="1"/>
          <w:iCs w:val="1"/>
          <w:rtl w:val="0"/>
          <w:lang w:val="ru-RU"/>
        </w:rPr>
        <w:t xml:space="preserve">С </w:t>
      </w:r>
      <w:r>
        <w:rPr>
          <w:rStyle w:val="None"/>
          <w:i w:val="1"/>
          <w:iCs w:val="1"/>
          <w:rtl w:val="0"/>
          <w:lang w:val="ru-RU"/>
        </w:rPr>
        <w:t xml:space="preserve">2020 </w:t>
      </w:r>
      <w:r>
        <w:rPr>
          <w:rStyle w:val="None"/>
          <w:i w:val="1"/>
          <w:iCs w:val="1"/>
          <w:rtl w:val="0"/>
          <w:lang w:val="ru-RU"/>
        </w:rPr>
        <w:t>г</w:t>
      </w:r>
      <w:r>
        <w:rPr>
          <w:rStyle w:val="None"/>
          <w:i w:val="1"/>
          <w:iCs w:val="1"/>
          <w:rtl w:val="0"/>
          <w:lang w:val="ru-RU"/>
        </w:rPr>
        <w:t xml:space="preserve">. </w:t>
      </w:r>
      <w:r>
        <w:rPr>
          <w:rStyle w:val="None"/>
          <w:i w:val="1"/>
          <w:iCs w:val="1"/>
          <w:rtl w:val="0"/>
          <w:lang w:val="ru-RU"/>
        </w:rPr>
        <w:t>Тартуский университет больше не предлагает годовой интенсивный курс эстонского языка для студентов</w:t>
      </w:r>
      <w:r>
        <w:rPr>
          <w:rStyle w:val="None"/>
          <w:i w:val="1"/>
          <w:iCs w:val="1"/>
          <w:rtl w:val="0"/>
          <w:lang w:val="ru-RU"/>
        </w:rPr>
        <w:t xml:space="preserve">, </w:t>
      </w:r>
      <w:r>
        <w:rPr>
          <w:rStyle w:val="None"/>
          <w:i w:val="1"/>
          <w:iCs w:val="1"/>
          <w:rtl w:val="0"/>
          <w:lang w:val="ru-RU"/>
        </w:rPr>
        <w:t>закончивших бакалавриат за пределами Эстонии и не имеющих свидетельства о знании эстонского языка</w:t>
      </w:r>
      <w:r>
        <w:rPr>
          <w:rStyle w:val="None"/>
          <w:i w:val="1"/>
          <w:iCs w:val="1"/>
          <w:rtl w:val="0"/>
          <w:lang w:val="ru-RU"/>
        </w:rPr>
        <w:t xml:space="preserve">. </w:t>
      </w:r>
      <w:r>
        <w:rPr>
          <w:rStyle w:val="None"/>
          <w:i w:val="1"/>
          <w:iCs w:val="1"/>
          <w:rtl w:val="0"/>
          <w:lang w:val="ru-RU"/>
        </w:rPr>
        <w:t>Абитуриенты должны представить документ</w:t>
      </w:r>
      <w:r>
        <w:rPr>
          <w:rStyle w:val="None"/>
          <w:i w:val="1"/>
          <w:iCs w:val="1"/>
          <w:rtl w:val="0"/>
          <w:lang w:val="ru-RU"/>
        </w:rPr>
        <w:t xml:space="preserve">, </w:t>
      </w:r>
      <w:r>
        <w:rPr>
          <w:rStyle w:val="None"/>
          <w:i w:val="1"/>
          <w:iCs w:val="1"/>
          <w:rtl w:val="0"/>
          <w:lang w:val="ru-RU"/>
        </w:rPr>
        <w:t>подтверждающий владение эстонским языком на уровне не ниже В</w:t>
      </w:r>
      <w:r>
        <w:rPr>
          <w:rStyle w:val="None"/>
          <w:i w:val="1"/>
          <w:iCs w:val="1"/>
          <w:rtl w:val="0"/>
          <w:lang w:val="ru-RU"/>
        </w:rPr>
        <w:t xml:space="preserve">1. </w:t>
      </w:r>
    </w:p>
    <w:p>
      <w:pPr>
        <w:pStyle w:val="Обычный"/>
        <w:jc w:val="both"/>
      </w:pPr>
      <w:bookmarkEnd w:id="0"/>
    </w:p>
    <w:p>
      <w:pPr>
        <w:pStyle w:val="Обычный"/>
        <w:jc w:val="both"/>
      </w:pPr>
      <w:r>
        <w:rPr>
          <w:rStyle w:val="None"/>
          <w:i w:val="1"/>
          <w:iCs w:val="1"/>
          <w:rtl w:val="0"/>
          <w:lang w:val="ru-RU"/>
        </w:rPr>
        <w:t>Расписание</w:t>
      </w:r>
    </w:p>
    <w:p>
      <w:pPr>
        <w:pStyle w:val="Обычный"/>
        <w:jc w:val="both"/>
      </w:pPr>
      <w:r>
        <w:rPr>
          <w:rStyle w:val="None"/>
          <w:b w:val="1"/>
          <w:bCs w:val="1"/>
          <w:rtl w:val="0"/>
          <w:lang w:val="ru-RU"/>
        </w:rPr>
        <w:t xml:space="preserve">1 </w:t>
      </w:r>
      <w:r>
        <w:rPr>
          <w:rStyle w:val="None"/>
          <w:b w:val="1"/>
          <w:bCs w:val="1"/>
          <w:rtl w:val="0"/>
          <w:lang w:val="ru-RU"/>
        </w:rPr>
        <w:t>июня</w:t>
      </w:r>
      <w:r>
        <w:rPr>
          <w:rtl w:val="0"/>
          <w:lang w:val="ru-RU"/>
        </w:rPr>
        <w:t xml:space="preserve"> — заканчивается прием документов для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закончил учебу за пределами Эстонии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Style w:val="None"/>
          <w:b w:val="1"/>
          <w:bCs w:val="1"/>
          <w:rtl w:val="0"/>
          <w:lang w:val="ru-RU"/>
        </w:rPr>
        <w:t xml:space="preserve">1 </w:t>
      </w:r>
      <w:r>
        <w:rPr>
          <w:rStyle w:val="None"/>
          <w:b w:val="1"/>
          <w:bCs w:val="1"/>
          <w:rtl w:val="0"/>
          <w:lang w:val="ru-RU"/>
        </w:rPr>
        <w:t xml:space="preserve">февраля – </w:t>
      </w:r>
      <w:r>
        <w:rPr>
          <w:rStyle w:val="None"/>
          <w:b w:val="1"/>
          <w:bCs w:val="1"/>
          <w:rtl w:val="0"/>
          <w:lang w:val="en-US"/>
        </w:rPr>
        <w:t>30</w:t>
      </w:r>
      <w:r>
        <w:rPr>
          <w:rStyle w:val="None"/>
          <w:b w:val="1"/>
          <w:bCs w:val="1"/>
          <w:rtl w:val="0"/>
          <w:lang w:val="ru-RU"/>
        </w:rPr>
        <w:t xml:space="preserve"> ию</w:t>
      </w:r>
      <w:r>
        <w:rPr>
          <w:rStyle w:val="None"/>
          <w:b w:val="1"/>
          <w:bCs w:val="1"/>
          <w:rtl w:val="0"/>
          <w:lang w:val="ru-RU"/>
        </w:rPr>
        <w:t>н</w:t>
      </w:r>
      <w:r>
        <w:rPr>
          <w:rStyle w:val="None"/>
          <w:b w:val="1"/>
          <w:bCs w:val="1"/>
          <w:rtl w:val="0"/>
          <w:lang w:val="ru-RU"/>
        </w:rPr>
        <w:t>я</w:t>
      </w:r>
      <w:r>
        <w:rPr>
          <w:rtl w:val="0"/>
          <w:lang w:val="ru-RU"/>
        </w:rPr>
        <w:t xml:space="preserve"> — прием документов у кандидатов из Эстонии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Style w:val="None"/>
          <w:b w:val="1"/>
          <w:bCs w:val="1"/>
          <w:rtl w:val="0"/>
          <w:lang w:val="ru-RU"/>
        </w:rPr>
        <w:t xml:space="preserve">Не позднее </w:t>
      </w:r>
      <w:r>
        <w:rPr>
          <w:rStyle w:val="None"/>
          <w:b w:val="1"/>
          <w:bCs w:val="1"/>
          <w:rtl w:val="0"/>
          <w:lang w:val="ru-RU"/>
        </w:rPr>
        <w:t>1</w:t>
      </w:r>
      <w:r>
        <w:rPr>
          <w:rStyle w:val="None"/>
          <w:b w:val="1"/>
          <w:bCs w:val="1"/>
          <w:rtl w:val="0"/>
          <w:lang w:val="ru-RU"/>
        </w:rPr>
        <w:t>3</w:t>
      </w:r>
      <w:r>
        <w:rPr>
          <w:rStyle w:val="None"/>
          <w:b w:val="1"/>
          <w:bCs w:val="1"/>
          <w:rtl w:val="0"/>
          <w:lang w:val="ru-RU"/>
        </w:rPr>
        <w:t xml:space="preserve"> июля </w:t>
      </w:r>
      <w:r>
        <w:rPr>
          <w:rtl w:val="0"/>
          <w:lang w:val="ru-RU"/>
        </w:rPr>
        <w:t>— первые результаты конкурса</w:t>
      </w:r>
    </w:p>
    <w:p>
      <w:pPr>
        <w:pStyle w:val="Обычный"/>
        <w:jc w:val="both"/>
      </w:pPr>
      <w:r>
        <w:rPr>
          <w:rStyle w:val="None"/>
          <w:b w:val="1"/>
          <w:bCs w:val="1"/>
          <w:rtl w:val="0"/>
          <w:lang w:val="ru-RU"/>
        </w:rPr>
        <w:t>3</w:t>
      </w:r>
      <w:r>
        <w:rPr>
          <w:rStyle w:val="None"/>
          <w:b w:val="1"/>
          <w:bCs w:val="1"/>
          <w:rtl w:val="0"/>
          <w:lang w:val="ru-RU"/>
        </w:rPr>
        <w:t>0</w:t>
      </w:r>
      <w:r>
        <w:rPr>
          <w:rStyle w:val="None"/>
          <w:b w:val="1"/>
          <w:bCs w:val="1"/>
          <w:rtl w:val="0"/>
          <w:lang w:val="ru-RU"/>
        </w:rPr>
        <w:t xml:space="preserve"> августа</w:t>
      </w:r>
      <w:r>
        <w:rPr>
          <w:rtl w:val="0"/>
          <w:lang w:val="ru-RU"/>
        </w:rPr>
        <w:t xml:space="preserve"> — начало учебного года</w:t>
      </w:r>
    </w:p>
    <w:p>
      <w:pPr>
        <w:pStyle w:val="Обычный"/>
        <w:jc w:val="both"/>
      </w:pPr>
    </w:p>
    <w:p>
      <w:pPr>
        <w:pStyle w:val="Обычный"/>
        <w:jc w:val="both"/>
        <w:rPr>
          <w:rStyle w:val="None"/>
          <w:i w:val="1"/>
          <w:iCs w:val="1"/>
          <w:u w:val="single"/>
        </w:rPr>
      </w:pPr>
      <w:r>
        <w:rPr>
          <w:rStyle w:val="None"/>
          <w:i w:val="1"/>
          <w:iCs w:val="1"/>
          <w:u w:val="single"/>
          <w:rtl w:val="0"/>
          <w:lang w:val="ru-RU"/>
        </w:rPr>
        <w:t>Вступительные экзамены на отделении славистики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Письменный экзамен — </w:t>
      </w:r>
      <w:r>
        <w:rPr>
          <w:rStyle w:val="None"/>
          <w:b w:val="1"/>
          <w:bCs w:val="1"/>
          <w:rtl w:val="0"/>
          <w:lang w:val="ru-RU"/>
        </w:rPr>
        <w:t>6</w:t>
      </w:r>
      <w:r>
        <w:rPr>
          <w:rStyle w:val="None"/>
          <w:b w:val="1"/>
          <w:bCs w:val="1"/>
          <w:rtl w:val="0"/>
          <w:lang w:val="ru-RU"/>
        </w:rPr>
        <w:t xml:space="preserve"> </w:t>
      </w:r>
      <w:r>
        <w:rPr>
          <w:rStyle w:val="None"/>
          <w:b w:val="1"/>
          <w:bCs w:val="1"/>
          <w:rtl w:val="0"/>
          <w:lang w:val="ru-RU"/>
        </w:rPr>
        <w:t xml:space="preserve">и </w:t>
      </w:r>
      <w:r>
        <w:rPr>
          <w:rStyle w:val="None"/>
          <w:b w:val="1"/>
          <w:bCs w:val="1"/>
          <w:rtl w:val="0"/>
          <w:lang w:val="ru-RU"/>
        </w:rPr>
        <w:t xml:space="preserve">8 </w:t>
      </w:r>
      <w:r>
        <w:rPr>
          <w:rStyle w:val="None"/>
          <w:b w:val="1"/>
          <w:bCs w:val="1"/>
          <w:rtl w:val="0"/>
          <w:lang w:val="ru-RU"/>
        </w:rPr>
        <w:t xml:space="preserve">июля </w:t>
      </w:r>
      <w:r>
        <w:rPr>
          <w:rStyle w:val="None"/>
          <w:b w:val="1"/>
          <w:bCs w:val="1"/>
          <w:rtl w:val="0"/>
          <w:lang w:val="ru-RU"/>
        </w:rPr>
        <w:t>202</w:t>
      </w:r>
      <w:r>
        <w:rPr>
          <w:rStyle w:val="None"/>
          <w:b w:val="1"/>
          <w:bCs w:val="1"/>
          <w:rtl w:val="0"/>
          <w:lang w:val="ru-RU"/>
        </w:rPr>
        <w:t>1</w:t>
      </w:r>
      <w:r>
        <w:rPr>
          <w:rStyle w:val="None"/>
          <w:b w:val="1"/>
          <w:bCs w:val="1"/>
          <w:rtl w:val="0"/>
          <w:lang w:val="ru-RU"/>
        </w:rPr>
        <w:t xml:space="preserve"> г</w:t>
      </w:r>
      <w:r>
        <w:rPr>
          <w:rStyle w:val="None"/>
          <w:b w:val="1"/>
          <w:bCs w:val="1"/>
          <w:rtl w:val="0"/>
          <w:lang w:val="ru-RU"/>
        </w:rPr>
        <w:t>.</w:t>
      </w:r>
      <w:r>
        <w:rPr>
          <w:rStyle w:val="None"/>
          <w:b w:val="1"/>
          <w:bCs w:val="1"/>
          <w:rtl w:val="0"/>
          <w:lang w:val="ru-RU"/>
        </w:rPr>
        <w:t xml:space="preserve"> в</w:t>
      </w:r>
      <w:r>
        <w:rPr>
          <w:rStyle w:val="None"/>
          <w:b w:val="1"/>
          <w:bCs w:val="1"/>
          <w:rtl w:val="0"/>
          <w:lang w:val="ru-RU"/>
        </w:rPr>
        <w:t xml:space="preserve"> 1</w:t>
      </w:r>
      <w:r>
        <w:rPr>
          <w:rStyle w:val="None"/>
          <w:b w:val="1"/>
          <w:bCs w:val="1"/>
          <w:rtl w:val="0"/>
          <w:lang w:val="ru-RU"/>
        </w:rPr>
        <w:t>1</w:t>
      </w:r>
      <w:r>
        <w:rPr>
          <w:rStyle w:val="None"/>
          <w:b w:val="1"/>
          <w:bCs w:val="1"/>
          <w:rtl w:val="0"/>
          <w:lang w:val="ru-RU"/>
        </w:rPr>
        <w:t>.00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Устный экзамен — </w:t>
      </w:r>
      <w:r>
        <w:rPr>
          <w:rStyle w:val="None"/>
          <w:b w:val="1"/>
          <w:bCs w:val="1"/>
          <w:rtl w:val="0"/>
          <w:lang w:val="ru-RU"/>
        </w:rPr>
        <w:t>6</w:t>
      </w:r>
      <w:r>
        <w:rPr>
          <w:rStyle w:val="None"/>
          <w:b w:val="1"/>
          <w:bCs w:val="1"/>
          <w:rtl w:val="0"/>
          <w:lang w:val="ru-RU"/>
        </w:rPr>
        <w:t xml:space="preserve"> и </w:t>
      </w:r>
      <w:r>
        <w:rPr>
          <w:rStyle w:val="None"/>
          <w:b w:val="1"/>
          <w:bCs w:val="1"/>
          <w:rtl w:val="0"/>
          <w:lang w:val="ru-RU"/>
        </w:rPr>
        <w:t>8</w:t>
      </w:r>
      <w:r>
        <w:rPr>
          <w:rStyle w:val="None"/>
          <w:b w:val="1"/>
          <w:bCs w:val="1"/>
          <w:rtl w:val="0"/>
          <w:lang w:val="ru-RU"/>
        </w:rPr>
        <w:t xml:space="preserve"> июля </w:t>
      </w:r>
      <w:r>
        <w:rPr>
          <w:rStyle w:val="None"/>
          <w:b w:val="1"/>
          <w:bCs w:val="1"/>
          <w:rtl w:val="0"/>
          <w:lang w:val="ru-RU"/>
        </w:rPr>
        <w:t>202</w:t>
      </w:r>
      <w:r>
        <w:rPr>
          <w:rStyle w:val="None"/>
          <w:b w:val="1"/>
          <w:bCs w:val="1"/>
          <w:rtl w:val="0"/>
          <w:lang w:val="ru-RU"/>
        </w:rPr>
        <w:t>1</w:t>
      </w:r>
      <w:r>
        <w:rPr>
          <w:rStyle w:val="None"/>
          <w:b w:val="1"/>
          <w:bCs w:val="1"/>
          <w:rtl w:val="0"/>
          <w:lang w:val="ru-RU"/>
        </w:rPr>
        <w:t xml:space="preserve"> г</w:t>
      </w:r>
      <w:r>
        <w:rPr>
          <w:rStyle w:val="None"/>
          <w:b w:val="1"/>
          <w:bCs w:val="1"/>
          <w:rtl w:val="0"/>
          <w:lang w:val="ru-RU"/>
        </w:rPr>
        <w:t xml:space="preserve">., </w:t>
      </w:r>
      <w:r>
        <w:rPr>
          <w:rStyle w:val="None"/>
          <w:b w:val="1"/>
          <w:bCs w:val="1"/>
          <w:rtl w:val="0"/>
          <w:lang w:val="ru-RU"/>
        </w:rPr>
        <w:t xml:space="preserve">начало в </w:t>
      </w:r>
      <w:r>
        <w:rPr>
          <w:rStyle w:val="None"/>
          <w:b w:val="1"/>
          <w:bCs w:val="1"/>
          <w:rtl w:val="0"/>
          <w:lang w:val="ru-RU"/>
        </w:rPr>
        <w:t>1</w:t>
      </w:r>
      <w:r>
        <w:rPr>
          <w:rStyle w:val="None"/>
          <w:b w:val="1"/>
          <w:bCs w:val="1"/>
          <w:rtl w:val="0"/>
          <w:lang w:val="ru-RU"/>
        </w:rPr>
        <w:t>5</w:t>
      </w:r>
      <w:r>
        <w:rPr>
          <w:rStyle w:val="None"/>
          <w:b w:val="1"/>
          <w:bCs w:val="1"/>
          <w:rtl w:val="0"/>
          <w:lang w:val="ru-RU"/>
        </w:rPr>
        <w:t>.</w:t>
      </w:r>
      <w:r>
        <w:rPr>
          <w:rStyle w:val="None"/>
          <w:b w:val="1"/>
          <w:bCs w:val="1"/>
          <w:rtl w:val="0"/>
          <w:lang w:val="ru-RU"/>
        </w:rPr>
        <w:t>0</w:t>
      </w:r>
      <w:r>
        <w:rPr>
          <w:rStyle w:val="None"/>
          <w:b w:val="1"/>
          <w:bCs w:val="1"/>
          <w:rtl w:val="0"/>
          <w:lang w:val="ru-RU"/>
        </w:rPr>
        <w:t>0</w:t>
      </w:r>
    </w:p>
    <w:p>
      <w:pPr>
        <w:pStyle w:val="Обычный"/>
        <w:jc w:val="both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ru-RU"/>
        </w:rPr>
        <w:t>Экзамены проводятся в ауд</w:t>
      </w:r>
      <w:r>
        <w:rPr>
          <w:rStyle w:val="None"/>
          <w:i w:val="1"/>
          <w:iCs w:val="1"/>
          <w:rtl w:val="0"/>
          <w:lang w:val="ru-RU"/>
        </w:rPr>
        <w:t xml:space="preserve">. 107 </w:t>
      </w:r>
      <w:r>
        <w:rPr>
          <w:rStyle w:val="None"/>
          <w:i w:val="1"/>
          <w:iCs w:val="1"/>
          <w:rtl w:val="0"/>
          <w:lang w:val="ru-RU"/>
        </w:rPr>
        <w:t xml:space="preserve">по адресу </w:t>
      </w:r>
      <w:r>
        <w:rPr>
          <w:rStyle w:val="None"/>
          <w:i w:val="1"/>
          <w:iCs w:val="1"/>
          <w:rtl w:val="0"/>
          <w:lang w:val="en-US"/>
        </w:rPr>
        <w:t>Jakobi</w:t>
      </w:r>
      <w:r>
        <w:rPr>
          <w:rStyle w:val="None"/>
          <w:i w:val="1"/>
          <w:iCs w:val="1"/>
          <w:rtl w:val="0"/>
          <w:lang w:val="ru-RU"/>
        </w:rPr>
        <w:t xml:space="preserve"> 2, </w:t>
      </w:r>
      <w:r>
        <w:rPr>
          <w:rStyle w:val="None"/>
          <w:i w:val="1"/>
          <w:iCs w:val="1"/>
          <w:rtl w:val="0"/>
          <w:lang w:val="en-US"/>
        </w:rPr>
        <w:t>Tartu</w:t>
      </w:r>
      <w:r>
        <w:rPr>
          <w:rStyle w:val="None"/>
          <w:i w:val="1"/>
          <w:iCs w:val="1"/>
          <w:rtl w:val="0"/>
          <w:lang w:val="ru-RU"/>
        </w:rPr>
        <w:t>.</w:t>
      </w:r>
    </w:p>
    <w:p>
      <w:pPr>
        <w:pStyle w:val="Обычный"/>
        <w:jc w:val="both"/>
        <w:rPr>
          <w:rStyle w:val="None"/>
          <w:i w:val="1"/>
          <w:iCs w:val="1"/>
        </w:rPr>
      </w:pPr>
    </w:p>
    <w:p>
      <w:pPr>
        <w:pStyle w:val="Обычный"/>
        <w:jc w:val="both"/>
      </w:pPr>
      <w:r>
        <w:rPr>
          <w:rStyle w:val="None"/>
          <w:rtl w:val="0"/>
          <w:lang w:val="ru-RU"/>
        </w:rPr>
        <w:t xml:space="preserve">Дополнительную информацию </w:t>
      </w:r>
      <w:r>
        <w:rPr>
          <w:rStyle w:val="None"/>
          <w:rtl w:val="0"/>
          <w:lang w:val="ru-RU"/>
        </w:rPr>
        <w:t>(</w:t>
      </w:r>
      <w:r>
        <w:rPr>
          <w:rStyle w:val="None"/>
          <w:rtl w:val="0"/>
          <w:lang w:val="ru-RU"/>
        </w:rPr>
        <w:t>на эстонском или английском языке</w:t>
      </w:r>
      <w:r>
        <w:rPr>
          <w:rStyle w:val="None"/>
          <w:rtl w:val="0"/>
          <w:lang w:val="ru-RU"/>
        </w:rPr>
        <w:t xml:space="preserve">) </w:t>
      </w:r>
      <w:r>
        <w:rPr>
          <w:rStyle w:val="None"/>
          <w:rtl w:val="0"/>
          <w:lang w:val="ru-RU"/>
        </w:rPr>
        <w:t xml:space="preserve">можно получить у координатора Аге Аллас </w:t>
      </w:r>
      <w:r>
        <w:rPr>
          <w:rStyle w:val="None"/>
          <w:rtl w:val="0"/>
          <w:lang w:val="ru-RU"/>
        </w:rPr>
        <w:t>(</w:t>
      </w: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"mailto:age.allas@ut.ee"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age</w:t>
      </w:r>
      <w:r>
        <w:rPr>
          <w:rStyle w:val="None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color w:val="0000ff"/>
          <w:u w:val="single" w:color="0000ff"/>
          <w:rtl w:val="0"/>
          <w:lang w:val="en-US"/>
        </w:rPr>
        <w:t>allas</w:t>
      </w:r>
      <w:r>
        <w:rPr>
          <w:rStyle w:val="None"/>
          <w:color w:val="0000ff"/>
          <w:u w:val="single" w:color="0000ff"/>
          <w:rtl w:val="0"/>
          <w:lang w:val="ru-RU"/>
        </w:rPr>
        <w:t>@</w:t>
      </w:r>
      <w:r>
        <w:rPr>
          <w:rStyle w:val="Hyperlink.1"/>
          <w:color w:val="0000ff"/>
          <w:u w:val="single" w:color="0000ff"/>
          <w:rtl w:val="0"/>
          <w:lang w:val="en-US"/>
        </w:rPr>
        <w:t>ut</w:t>
      </w:r>
      <w:r>
        <w:rPr>
          <w:rStyle w:val="None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color w:val="0000ff"/>
          <w:u w:val="single" w:color="0000ff"/>
          <w:rtl w:val="0"/>
          <w:lang w:val="en-US"/>
        </w:rPr>
        <w:t>ee</w:t>
      </w:r>
      <w:r>
        <w:rPr/>
        <w:fldChar w:fldCharType="end" w:fldLock="0"/>
      </w:r>
      <w:r>
        <w:rPr>
          <w:rStyle w:val="None"/>
          <w:rtl w:val="0"/>
          <w:lang w:val="ru-RU"/>
        </w:rPr>
        <w:t xml:space="preserve">) </w:t>
      </w:r>
      <w:r>
        <w:rPr>
          <w:rStyle w:val="None"/>
          <w:rtl w:val="0"/>
          <w:lang w:val="ru-RU"/>
        </w:rPr>
        <w:t xml:space="preserve">или </w:t>
      </w:r>
      <w:r>
        <w:rPr>
          <w:rStyle w:val="None"/>
          <w:rtl w:val="0"/>
          <w:lang w:val="ru-RU"/>
        </w:rPr>
        <w:t>(</w:t>
      </w:r>
      <w:r>
        <w:rPr>
          <w:rStyle w:val="None"/>
          <w:rtl w:val="0"/>
          <w:lang w:val="ru-RU"/>
        </w:rPr>
        <w:t>на русском языке</w:t>
      </w:r>
      <w:r>
        <w:rPr>
          <w:rStyle w:val="None"/>
          <w:rtl w:val="0"/>
          <w:lang w:val="ru-RU"/>
        </w:rPr>
        <w:t xml:space="preserve">) </w:t>
      </w:r>
      <w:r>
        <w:rPr>
          <w:rStyle w:val="None"/>
          <w:rtl w:val="0"/>
          <w:lang w:val="ru-RU"/>
        </w:rPr>
        <w:t>у науч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>сотр</w:t>
      </w:r>
      <w:r>
        <w:rPr>
          <w:rStyle w:val="None"/>
          <w:rtl w:val="0"/>
          <w:lang w:val="ru-RU"/>
        </w:rPr>
        <w:t xml:space="preserve">. </w:t>
      </w:r>
      <w:r>
        <w:rPr>
          <w:rStyle w:val="None"/>
          <w:rtl w:val="0"/>
          <w:lang w:val="ru-RU"/>
        </w:rPr>
        <w:t xml:space="preserve">Татьяны Николаевны Степанищевой </w:t>
      </w:r>
      <w:r>
        <w:rPr>
          <w:rStyle w:val="None"/>
          <w:rtl w:val="0"/>
          <w:lang w:val="ru-RU"/>
        </w:rPr>
        <w:t>(</w:t>
      </w:r>
      <w:r>
        <w:rPr>
          <w:rStyle w:val="Hyperlink.2"/>
          <w:color w:val="0000ff"/>
          <w:u w:val="single" w:color="0000ff"/>
        </w:rPr>
        <w:fldChar w:fldCharType="begin" w:fldLock="0"/>
      </w:r>
      <w:r>
        <w:rPr>
          <w:rStyle w:val="Hyperlink.2"/>
          <w:color w:val="0000ff"/>
          <w:u w:val="single" w:color="0000ff"/>
        </w:rPr>
        <w:instrText xml:space="preserve"> HYPERLINK "mailto:tatjana.stepanishcheva@ut.ee"</w:instrText>
      </w:r>
      <w:r>
        <w:rPr>
          <w:rStyle w:val="Hyperlink.2"/>
          <w:color w:val="0000ff"/>
          <w:u w:val="single" w:color="0000ff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</w:rPr>
        <w:t>t</w:t>
      </w:r>
      <w:r>
        <w:rPr>
          <w:rStyle w:val="Hyperlink.1"/>
          <w:color w:val="0000ff"/>
          <w:u w:val="single" w:color="0000ff"/>
          <w:rtl w:val="0"/>
          <w:lang w:val="en-US"/>
        </w:rPr>
        <w:t>atjana</w:t>
      </w:r>
      <w:r>
        <w:rPr>
          <w:rStyle w:val="None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color w:val="0000ff"/>
          <w:u w:val="single" w:color="0000ff"/>
          <w:rtl w:val="0"/>
          <w:lang w:val="en-US"/>
        </w:rPr>
        <w:t>stepanishcheva</w:t>
      </w:r>
      <w:r>
        <w:rPr>
          <w:rStyle w:val="None"/>
          <w:color w:val="0000ff"/>
          <w:u w:val="single" w:color="0000ff"/>
          <w:rtl w:val="0"/>
          <w:lang w:val="ru-RU"/>
        </w:rPr>
        <w:t>@</w:t>
      </w:r>
      <w:r>
        <w:rPr>
          <w:rStyle w:val="Hyperlink.1"/>
          <w:color w:val="0000ff"/>
          <w:u w:val="single" w:color="0000ff"/>
          <w:rtl w:val="0"/>
          <w:lang w:val="en-US"/>
        </w:rPr>
        <w:t>ut</w:t>
      </w:r>
      <w:r>
        <w:rPr>
          <w:rStyle w:val="None"/>
          <w:color w:val="0000ff"/>
          <w:u w:val="single" w:color="0000ff"/>
          <w:rtl w:val="0"/>
          <w:lang w:val="ru-RU"/>
        </w:rPr>
        <w:t>.</w:t>
      </w:r>
      <w:r>
        <w:rPr>
          <w:rStyle w:val="Hyperlink.1"/>
          <w:color w:val="0000ff"/>
          <w:u w:val="single" w:color="0000ff"/>
          <w:rtl w:val="0"/>
          <w:lang w:val="en-US"/>
        </w:rPr>
        <w:t>ee</w:t>
      </w:r>
      <w:r>
        <w:rPr/>
        <w:fldChar w:fldCharType="end" w:fldLock="0"/>
      </w:r>
      <w:r>
        <w:rPr>
          <w:rStyle w:val="None"/>
          <w:rtl w:val="0"/>
          <w:lang w:val="ru-RU"/>
        </w:rPr>
        <w:t>)</w:t>
      </w:r>
    </w:p>
    <w:p>
      <w:pPr>
        <w:pStyle w:val="Обычный"/>
        <w:jc w:val="both"/>
        <w:rPr>
          <w:rStyle w:val="None"/>
          <w:i w:val="1"/>
          <w:iCs w:val="1"/>
        </w:rPr>
      </w:pPr>
    </w:p>
    <w:p>
      <w:pPr>
        <w:pStyle w:val="Обычный"/>
        <w:jc w:val="both"/>
      </w:pPr>
      <w:r>
        <w:rPr>
          <w:rStyle w:val="None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en-US"/>
    </w:rPr>
  </w:style>
  <w:style w:type="character" w:styleId="Hyperlink.2">
    <w:name w:val="Hyperlink.2"/>
    <w:basedOn w:val="None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